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before="100" w:beforeAutospacing="1" w:after="100" w:afterAutospacing="1" w:line="360" w:lineRule="atLeast"/>
        <w:jc w:val="center"/>
        <w:rPr>
          <w:rFonts w:hint="eastAsia" w:ascii="宋体" w:hAnsi="宋体" w:cs="宋体"/>
          <w:b/>
          <w:kern w:val="0"/>
          <w:sz w:val="30"/>
          <w:szCs w:val="30"/>
        </w:rPr>
      </w:pPr>
      <w:r>
        <w:rPr>
          <w:rFonts w:hint="eastAsia" w:ascii="宋体" w:hAnsi="宋体" w:cs="宋体"/>
          <w:b/>
          <w:kern w:val="0"/>
          <w:sz w:val="30"/>
          <w:szCs w:val="30"/>
        </w:rPr>
        <w:t>青岛理工大学商学院简介</w:t>
      </w:r>
    </w:p>
    <w:p>
      <w:pPr>
        <w:widowControl/>
        <w:spacing w:line="360" w:lineRule="auto"/>
        <w:ind w:firstLine="480" w:firstLineChars="200"/>
        <w:rPr>
          <w:rFonts w:ascii="宋体" w:hAnsi="宋体" w:cs="宋体"/>
          <w:kern w:val="0"/>
          <w:sz w:val="24"/>
        </w:rPr>
      </w:pPr>
      <w:r>
        <w:rPr>
          <w:rFonts w:hint="eastAsia" w:ascii="宋体" w:hAnsi="宋体" w:cs="宋体"/>
          <w:kern w:val="0"/>
          <w:sz w:val="24"/>
        </w:rPr>
        <w:t>青岛理工大学商学院的前身为原青岛建筑工程学院管理工程系，创立于1984年，为我校创立最早的院部之一，迄今为止已有30余年的</w:t>
      </w:r>
      <w:bookmarkStart w:id="0" w:name="_GoBack"/>
      <w:bookmarkEnd w:id="0"/>
      <w:r>
        <w:rPr>
          <w:rFonts w:hint="eastAsia" w:ascii="宋体" w:hAnsi="宋体" w:cs="宋体"/>
          <w:kern w:val="0"/>
          <w:sz w:val="24"/>
        </w:rPr>
        <w:t>历史。1995年，青岛建筑工程学院与青岛冶金矿山大学合并；1999年两校区的经济管理学科合并成立管理系，下设建筑管理、会计学、统计学专业；2000年因学科调整需要，分为财经系(专业：会计学、统计学)、管理系(专业：工程管理、工业工程)；2001年学校进行二级学院试点，财经系更名为商学院；</w:t>
      </w:r>
      <w:r>
        <w:rPr>
          <w:rFonts w:ascii="宋体" w:hAnsi="宋体" w:cs="宋体"/>
          <w:kern w:val="0"/>
          <w:sz w:val="24"/>
        </w:rPr>
        <w:t> </w:t>
      </w:r>
      <w:r>
        <w:rPr>
          <w:rFonts w:hint="eastAsia" w:ascii="宋体" w:hAnsi="宋体" w:cs="宋体"/>
          <w:kern w:val="0"/>
          <w:sz w:val="24"/>
        </w:rPr>
        <w:t xml:space="preserve">2002年因学校学科调整分为：商学院(专业：会计学、财务管理、市场营销)、经贸系(专业：统计学、国际经济与贸易)；2004年专业调整，电子商务专业划入商学院。 </w:t>
      </w:r>
    </w:p>
    <w:p>
      <w:pPr>
        <w:widowControl/>
        <w:spacing w:line="360" w:lineRule="auto"/>
        <w:ind w:firstLine="480" w:firstLineChars="200"/>
        <w:rPr>
          <w:rFonts w:hint="eastAsia" w:ascii="宋体" w:hAnsi="宋体" w:cs="宋体"/>
          <w:kern w:val="0"/>
          <w:sz w:val="24"/>
        </w:rPr>
      </w:pPr>
      <w:r>
        <w:rPr>
          <w:rFonts w:hint="eastAsia" w:ascii="宋体" w:hAnsi="宋体" w:cs="宋体"/>
          <w:kern w:val="0"/>
          <w:sz w:val="24"/>
        </w:rPr>
        <w:t xml:space="preserve">学院以工商管理学科为主，拥有会计学、市场营销、财务管理、电子商务、国际商务五个本科专业，财务管理本科专业和国际商务专科专业两个中瑞合作办学项目，有工商管理一级学科硕士点，有会计学、企业管理两个二级学科硕士点，有会计硕士（Mpacc）、资产评估硕士两个专业硕士点，其中会计学硕士点是我校第一个非理工类硕士点。会计学本科专业为山东省特色专业。学院具有教师专业技术职务的教师72人。有教授11人，副教授25人，博士22人，硕士生导师26名。学院在校全日制本专科生2000余名，全日制研究生162人。 </w:t>
      </w:r>
    </w:p>
    <w:p>
      <w:pPr>
        <w:widowControl/>
        <w:spacing w:line="360" w:lineRule="auto"/>
        <w:ind w:firstLine="480" w:firstLineChars="200"/>
        <w:rPr>
          <w:rFonts w:hint="eastAsia" w:ascii="宋体" w:hAnsi="宋体" w:cs="宋体"/>
          <w:kern w:val="0"/>
          <w:sz w:val="24"/>
        </w:rPr>
      </w:pPr>
      <w:r>
        <w:rPr>
          <w:rFonts w:hint="eastAsia" w:ascii="宋体" w:hAnsi="宋体" w:cs="宋体"/>
          <w:kern w:val="0"/>
          <w:sz w:val="24"/>
        </w:rPr>
        <w:t xml:space="preserve">学院拥有建筑面积达1800多平方米的商务与管理实践中心。中心下设企业生产运营模拟厅、国际商贸模拟厅、证券期货模拟厅、商业银行模拟厅、创业智力孵化厅、多功能厅等6个功能厅及2个手工模拟实验室，拥有价值530多万元的仪器设备，各类财务会计、营销、企业管理、电子商务、物流管理等教学及管理软件38套、可进行38项实习和实训，可以同时容纳280名学生进行实验实习。中心既能满足本科教学需要，也能满足研究生教学及科学研究的需要，商务与管理实践中心获校实验示范中心建设项目。2015年投入110万元建成管理科学行为实验室。学院图书资料室藏书一万余册；期刊资料室藏有各类学术期刊近百种，可以提供各专业的学术动态和信息，能够满足师生的学习与科研需要。 </w:t>
      </w:r>
    </w:p>
    <w:p>
      <w:pPr>
        <w:widowControl/>
        <w:spacing w:line="360" w:lineRule="auto"/>
        <w:ind w:firstLine="480" w:firstLineChars="200"/>
        <w:rPr>
          <w:rFonts w:hint="eastAsia" w:ascii="宋体" w:hAnsi="宋体" w:cs="宋体"/>
          <w:kern w:val="0"/>
          <w:sz w:val="24"/>
        </w:rPr>
      </w:pPr>
      <w:r>
        <w:rPr>
          <w:rFonts w:hint="eastAsia" w:ascii="宋体" w:hAnsi="宋体" w:cs="宋体"/>
          <w:kern w:val="0"/>
          <w:sz w:val="24"/>
        </w:rPr>
        <w:t xml:space="preserve">近年来，学院教学及科研成果丰硕。会计学专业核心课程获省级精品课程群。积极参与名校工程建设，成功申报创新课程体系建设项目1项，特色教材建设项目17本，教改研究项目9项，实验实习实践教学体系创新项目1项，实验教学示范中心建设项目1项。会计学获校“优秀教学团队”； 5名教师入选山东省首期高端会计人才（学术类）培养工程；1名教师入选青岛市会计领军（后备）人才；1名教师在首届山东省高校青年教师教学竞赛中获三等奖； 2名教师在首届山东省高校教师微课教学比赛中获二等奖、优秀奖，校内一等奖。1名教师被评为青岛市教学名师，1名教师被评为青岛理工大学教学名师，1名教师获我校十大优秀教师。2016年云乐鑫博士所申请的国家自然科学基金青年基金项目已获得国家自然科学基金委员会的资助批准；获批3项教育部课题，省级课题5项，市厅级课题15项，到位纵向经费30余万元，横向课题20余项，实到经费30余万元；获得省优秀社会科学成果二、三等奖各一项，发表论文100多篇，出版专著教材6本，获得省市级奖励19项，学院于2015年荣获校“科研突出贡献奖”。 </w:t>
      </w:r>
    </w:p>
    <w:p>
      <w:pPr>
        <w:widowControl/>
        <w:spacing w:line="360" w:lineRule="auto"/>
        <w:ind w:firstLine="480" w:firstLineChars="200"/>
        <w:rPr>
          <w:rFonts w:hint="eastAsia" w:ascii="宋体" w:hAnsi="宋体" w:cs="宋体"/>
          <w:kern w:val="0"/>
          <w:sz w:val="24"/>
        </w:rPr>
      </w:pPr>
      <w:r>
        <w:rPr>
          <w:rFonts w:hint="eastAsia" w:ascii="宋体" w:hAnsi="宋体" w:cs="宋体"/>
          <w:kern w:val="0"/>
          <w:sz w:val="24"/>
        </w:rPr>
        <w:t xml:space="preserve">学院先后荣获“山东省女职工建功立业标兵岗”、“青岛市工人先锋号”和“青岛市职工职业道德建设先进单位”；连续荣获校“三育人”先进集体和校工会工作优秀分会荣誉称号；学院基层党组织的主题党日活动“培育学习型党组织，不断提升内涵建设，争做兴校强校先锋”获山东高校基层党支部活动创新案例二等奖；学院网站获青岛理工大学十大优秀网站。一名教师荣获“第六届全国高校辅导员年度人物提名奖”；一名教师荣获山东省“三八红旗手”；两名教师获“山东省高校思想政治教育工作先进个人”；一名教师荣获“山东高校科教兴鲁先锋共产党员”；两名教师被评为校“十大师德标兵”。 </w:t>
      </w:r>
    </w:p>
    <w:p>
      <w:pPr>
        <w:widowControl/>
        <w:spacing w:line="360" w:lineRule="auto"/>
        <w:ind w:firstLine="480" w:firstLineChars="200"/>
        <w:rPr>
          <w:rFonts w:hint="eastAsia" w:ascii="宋体" w:hAnsi="宋体" w:cs="宋体"/>
          <w:kern w:val="0"/>
          <w:sz w:val="24"/>
        </w:rPr>
      </w:pPr>
      <w:r>
        <w:rPr>
          <w:rFonts w:hint="eastAsia" w:ascii="宋体" w:hAnsi="宋体" w:cs="宋体"/>
          <w:kern w:val="0"/>
          <w:sz w:val="24"/>
        </w:rPr>
        <w:t>学生教育管理服务效果显著，获批山东高校辅导员名师工作室，学生团体（或班级）与个人获省级及以上荣誉800多项。学院多次荣获“学生德育工作一等奖”、“年度就业工作先进集体一等奖”、“年度就业工作进步奖”等奖项。广泛组织了大学生科技创新活动，开展了丰富多彩的校园文化活动，促进学生全面发展。近三年学院学生组队或参与获得创青春全国大学生创业大赛全国铜奖1项、山东省铜奖2项、第十三届挑战杯大学生课外科技作品竞赛山东省三等奖1项；全国大学生数学建模竞赛国家二等奖2项、省级一等奖4项、二等奖4项；全国大学生英语竞赛一等奖2项、二等奖8项、三等奖15项；全国大学生电子商务“创新、创意及创业”挑战赛国家二等奖1项、山东省特等奖1项、一等奖5项、二等奖3项、三等奖5项；第5届全国高等院校企业竞争模拟大赛三等奖1项、第13届全国MBA培养院校企业竞争模拟大赛一等奖1项；全国高校商业精英挑战赛商业信息化创新创业竞赛中或国家二等奖1项、山东省一等奖1项、二等奖1项；“大智慧杯”全国大学生金融精英挑战赛国家三等奖4项。学院社团---扬帆社入选“百佳全国大学生理论学习社团”；以商学院学生为主的校啦啦操队荣获全国学生啦啦操锦标赛爵士舞蹈项目亚军；一名同学在2015年“跟谁学</w:t>
      </w:r>
      <w:r>
        <w:rPr>
          <w:rFonts w:ascii="宋体" w:hAnsi="宋体" w:cs="宋体"/>
          <w:kern w:val="0"/>
          <w:sz w:val="24"/>
        </w:rPr>
        <w:t>——</w:t>
      </w:r>
      <w:r>
        <w:rPr>
          <w:rFonts w:hint="eastAsia" w:ascii="宋体" w:hAnsi="宋体" w:cs="宋体"/>
          <w:kern w:val="0"/>
          <w:sz w:val="24"/>
        </w:rPr>
        <w:t xml:space="preserve"> 赢在校园”职场精英挑战赛荣获全国冠军。</w:t>
      </w:r>
    </w:p>
    <w:p>
      <w:pPr>
        <w:widowControl/>
        <w:spacing w:line="360" w:lineRule="auto"/>
        <w:ind w:firstLine="480" w:firstLineChars="200"/>
        <w:jc w:val="left"/>
        <w:rPr>
          <w:rFonts w:hint="eastAsia" w:ascii="宋体" w:hAnsi="宋体" w:cs="宋体"/>
          <w:kern w:val="0"/>
          <w:sz w:val="24"/>
        </w:rPr>
      </w:pPr>
    </w:p>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09F" w:csb1="00000000"/>
  </w:font>
  <w:font w:name="Calibri">
    <w:panose1 w:val="020F0502020204030204"/>
    <w:charset w:val="00"/>
    <w:family w:val="swiss"/>
    <w:pitch w:val="default"/>
    <w:sig w:usb0="A00002EF" w:usb1="4000207B" w:usb2="00000000" w:usb3="00000000" w:csb0="2000009F" w:csb1="00000000"/>
  </w:font>
  <w:font w:name="Verdana">
    <w:panose1 w:val="020B0604030504040204"/>
    <w:charset w:val="00"/>
    <w:family w:val="swiss"/>
    <w:pitch w:val="default"/>
    <w:sig w:usb0="00000287" w:usb1="00000000" w:usb2="00000000"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6</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6</w:t>
    </w:r>
    <w:r>
      <w:rPr>
        <w:b/>
        <w:bCs/>
        <w:sz w:val="24"/>
        <w:szCs w:val="24"/>
      </w:rPr>
      <w:fldChar w:fldCharType="end"/>
    </w:r>
  </w:p>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b/>
        <w:szCs w:val="21"/>
      </w:rPr>
    </w:pPr>
    <w:r>
      <w:rPr>
        <w:b/>
        <w:sz w:val="32"/>
        <w:szCs w:val="32"/>
      </w:rPr>
      <w:drawing>
        <wp:inline distT="0" distB="0" distL="114300" distR="114300">
          <wp:extent cx="457200" cy="457835"/>
          <wp:effectExtent l="0" t="0" r="0" b="18415"/>
          <wp:docPr id="1" name="图片 1" descr="未命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未命名"/>
                  <pic:cNvPicPr>
                    <a:picLocks noChangeAspect="1"/>
                  </pic:cNvPicPr>
                </pic:nvPicPr>
                <pic:blipFill>
                  <a:blip r:embed="rId1"/>
                  <a:stretch>
                    <a:fillRect/>
                  </a:stretch>
                </pic:blipFill>
                <pic:spPr>
                  <a:xfrm>
                    <a:off x="0" y="0"/>
                    <a:ext cx="457200" cy="457835"/>
                  </a:xfrm>
                  <a:prstGeom prst="rect">
                    <a:avLst/>
                  </a:prstGeom>
                  <a:noFill/>
                  <a:ln w="9525">
                    <a:noFill/>
                  </a:ln>
                </pic:spPr>
              </pic:pic>
            </a:graphicData>
          </a:graphic>
        </wp:inline>
      </w:drawing>
    </w:r>
    <w:r>
      <w:rPr>
        <w:rFonts w:hint="eastAsia"/>
        <w:b/>
        <w:sz w:val="32"/>
        <w:szCs w:val="32"/>
      </w:rPr>
      <w:t xml:space="preserve">  </w:t>
    </w:r>
    <w:r>
      <w:rPr>
        <w:rFonts w:hint="eastAsia"/>
        <w:b/>
        <w:szCs w:val="21"/>
      </w:rPr>
      <w:t>青岛理工大学商学院</w:t>
    </w:r>
    <w:r>
      <w:rPr>
        <w:b/>
        <w:szCs w:val="21"/>
      </w:rPr>
      <w:t>20</w:t>
    </w:r>
    <w:r>
      <w:rPr>
        <w:rFonts w:hint="eastAsia"/>
        <w:b/>
        <w:szCs w:val="21"/>
      </w:rPr>
      <w:t>17</w:t>
    </w:r>
    <w:r>
      <w:rPr>
        <w:b/>
        <w:szCs w:val="21"/>
      </w:rPr>
      <w:t>届</w:t>
    </w:r>
    <w:r>
      <w:rPr>
        <w:rFonts w:hint="eastAsia"/>
        <w:b/>
        <w:szCs w:val="21"/>
      </w:rPr>
      <w:t>工商管理类</w:t>
    </w:r>
    <w:r>
      <w:rPr>
        <w:b/>
        <w:szCs w:val="21"/>
      </w:rPr>
      <w:t>毕业生</w:t>
    </w:r>
    <w:r>
      <w:rPr>
        <w:rFonts w:hint="eastAsia"/>
        <w:b/>
        <w:szCs w:val="21"/>
      </w:rPr>
      <w:t>春季</w:t>
    </w:r>
    <w:r>
      <w:rPr>
        <w:b/>
        <w:szCs w:val="21"/>
      </w:rPr>
      <w:t>双选会邀请函</w:t>
    </w:r>
  </w:p>
  <w:p>
    <w:pPr>
      <w:pStyle w:val="3"/>
      <w:jc w:val="both"/>
      <w:rPr>
        <w:rFonts w:hint="eastAsia"/>
        <w:sz w:val="21"/>
        <w:szCs w:val="21"/>
      </w:rPr>
    </w:pPr>
    <w:r>
      <w:rPr>
        <w:rFonts w:hint="eastAsia"/>
        <w:b/>
        <w:sz w:val="21"/>
        <w:szCs w:val="21"/>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1D43BEE"/>
    <w:rsid w:val="11D43BEE"/>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character" w:default="1" w:styleId="4">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szCs w:val="18"/>
    </w:rPr>
  </w:style>
  <w:style w:type="paragraph" w:styleId="3">
    <w:name w:val="header"/>
    <w:basedOn w:val="1"/>
    <w:uiPriority w:val="0"/>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Office_10.1.0.6260_F1E327BC-269C-435d-A152-05C5408002CA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2017-03-16T02:07:00Z</dcterms:created>
  <dc:creator>Administrator</dc:creator>
  <cp:lastModifiedBy>Administrator</cp:lastModifiedBy>
  <dcterms:modified xsi:type="dcterms:W3CDTF">2017-03-16T02:09:25Z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2052-10.1.0.6260</vt:lpwstr>
  </property>
</Properties>
</file>